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baseline"/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/>
          <w:sz w:val="44"/>
          <w:szCs w:val="44"/>
          <w:lang w:val="en-US" w:eastAsia="zh-CN"/>
        </w:rPr>
        <w:t>案例情况介绍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一、案例概况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介绍案例的主要创新举措（包括技术创新、模式创新）和特色做法。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三、典型意义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总结提炼案例的典型意义，突出可复制可推广的应用价值。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案例文稿应当主旨清晰、层次分明、资料翔实、语言生动，富有感染力，字数不超过3000字。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5C327F30"/>
    <w:rsid w:val="5C3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2023-06-19T06:09:00Z</dcterms:created>
  <dc:creator>wzkyc</dc:creator>
  <cp:lastModifiedBy>wzkyc</cp:lastModifiedBy>
  <dcterms:modified xsi:type="dcterms:W3CDTF">2023-06-19T06:09:51Z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F6CD7591947644B993F78672400ACC19_11</vt:lpwstr>
  </property>
</Properties>
</file>